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6C" w:rsidRPr="00E0346C" w:rsidRDefault="00345570" w:rsidP="00E0346C">
      <w:pPr>
        <w:pStyle w:val="Heading1"/>
      </w:pPr>
      <w:r>
        <w:t>UF Standards and Markers of Excellence</w:t>
      </w:r>
      <w:r w:rsidR="00E0346C">
        <w:tab/>
      </w:r>
      <w:r w:rsidR="00E0346C">
        <w:tab/>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3870"/>
        <w:gridCol w:w="1800"/>
        <w:gridCol w:w="4590"/>
        <w:gridCol w:w="2700"/>
        <w:gridCol w:w="2605"/>
      </w:tblGrid>
      <w:tr w:rsidR="00593E9B" w:rsidTr="00593E9B">
        <w:tc>
          <w:tcPr>
            <w:tcW w:w="1705" w:type="dxa"/>
            <w:shd w:val="clear" w:color="auto" w:fill="FFF2CC" w:themeFill="accent4" w:themeFillTint="33"/>
            <w:vAlign w:val="bottom"/>
          </w:tcPr>
          <w:p w:rsidR="00593E9B" w:rsidRPr="00593E9B" w:rsidRDefault="00593E9B" w:rsidP="00593E9B">
            <w:pPr>
              <w:rPr>
                <w:b/>
              </w:rPr>
            </w:pPr>
            <w:r w:rsidRPr="00593E9B">
              <w:rPr>
                <w:b/>
              </w:rPr>
              <w:t>Course Number</w:t>
            </w:r>
          </w:p>
        </w:tc>
        <w:tc>
          <w:tcPr>
            <w:tcW w:w="3870" w:type="dxa"/>
            <w:shd w:val="clear" w:color="auto" w:fill="FFF2CC" w:themeFill="accent4" w:themeFillTint="33"/>
            <w:vAlign w:val="bottom"/>
          </w:tcPr>
          <w:p w:rsidR="00593E9B" w:rsidRPr="00593E9B" w:rsidRDefault="00593E9B" w:rsidP="00593E9B">
            <w:pPr>
              <w:rPr>
                <w:b/>
              </w:rPr>
            </w:pPr>
          </w:p>
        </w:tc>
        <w:tc>
          <w:tcPr>
            <w:tcW w:w="1800" w:type="dxa"/>
            <w:shd w:val="clear" w:color="auto" w:fill="FFF2CC" w:themeFill="accent4" w:themeFillTint="33"/>
            <w:vAlign w:val="bottom"/>
          </w:tcPr>
          <w:p w:rsidR="00593E9B" w:rsidRPr="00593E9B" w:rsidRDefault="00593E9B" w:rsidP="00593E9B">
            <w:pPr>
              <w:rPr>
                <w:b/>
              </w:rPr>
            </w:pPr>
            <w:r w:rsidRPr="00593E9B">
              <w:rPr>
                <w:b/>
              </w:rPr>
              <w:t>Instructor Name</w:t>
            </w:r>
          </w:p>
        </w:tc>
        <w:tc>
          <w:tcPr>
            <w:tcW w:w="4590" w:type="dxa"/>
            <w:shd w:val="clear" w:color="auto" w:fill="FFF2CC" w:themeFill="accent4" w:themeFillTint="33"/>
            <w:vAlign w:val="bottom"/>
          </w:tcPr>
          <w:p w:rsidR="00593E9B" w:rsidRPr="00593E9B" w:rsidRDefault="00593E9B" w:rsidP="00593E9B">
            <w:pPr>
              <w:rPr>
                <w:b/>
              </w:rPr>
            </w:pPr>
          </w:p>
        </w:tc>
        <w:tc>
          <w:tcPr>
            <w:tcW w:w="2700" w:type="dxa"/>
            <w:shd w:val="clear" w:color="auto" w:fill="FFF2CC" w:themeFill="accent4" w:themeFillTint="33"/>
            <w:vAlign w:val="bottom"/>
          </w:tcPr>
          <w:p w:rsidR="00593E9B" w:rsidRPr="00593E9B" w:rsidRDefault="00593E9B" w:rsidP="00593E9B">
            <w:pPr>
              <w:rPr>
                <w:b/>
              </w:rPr>
            </w:pPr>
            <w:r w:rsidRPr="00593E9B">
              <w:rPr>
                <w:b/>
              </w:rPr>
              <w:t>Review Term</w:t>
            </w:r>
          </w:p>
        </w:tc>
        <w:tc>
          <w:tcPr>
            <w:tcW w:w="2605" w:type="dxa"/>
            <w:shd w:val="clear" w:color="auto" w:fill="FFF2CC" w:themeFill="accent4" w:themeFillTint="33"/>
            <w:vAlign w:val="bottom"/>
          </w:tcPr>
          <w:p w:rsidR="00593E9B" w:rsidRPr="00593E9B" w:rsidRDefault="00593E9B" w:rsidP="00593E9B">
            <w:pPr>
              <w:rPr>
                <w:b/>
              </w:rPr>
            </w:pPr>
          </w:p>
        </w:tc>
      </w:tr>
      <w:tr w:rsidR="00593E9B" w:rsidTr="00593E9B">
        <w:tc>
          <w:tcPr>
            <w:tcW w:w="1705" w:type="dxa"/>
            <w:shd w:val="clear" w:color="auto" w:fill="FFF2CC" w:themeFill="accent4" w:themeFillTint="33"/>
            <w:vAlign w:val="bottom"/>
          </w:tcPr>
          <w:p w:rsidR="00593E9B" w:rsidRPr="00593E9B" w:rsidRDefault="00593E9B" w:rsidP="00593E9B">
            <w:pPr>
              <w:rPr>
                <w:b/>
              </w:rPr>
            </w:pPr>
            <w:r w:rsidRPr="00593E9B">
              <w:rPr>
                <w:b/>
              </w:rPr>
              <w:t>Course Title</w:t>
            </w:r>
          </w:p>
        </w:tc>
        <w:tc>
          <w:tcPr>
            <w:tcW w:w="3870" w:type="dxa"/>
            <w:shd w:val="clear" w:color="auto" w:fill="FFF2CC" w:themeFill="accent4" w:themeFillTint="33"/>
            <w:vAlign w:val="bottom"/>
          </w:tcPr>
          <w:p w:rsidR="00593E9B" w:rsidRPr="00593E9B" w:rsidRDefault="00593E9B" w:rsidP="00593E9B">
            <w:pPr>
              <w:rPr>
                <w:b/>
              </w:rPr>
            </w:pPr>
          </w:p>
        </w:tc>
        <w:tc>
          <w:tcPr>
            <w:tcW w:w="1800" w:type="dxa"/>
            <w:shd w:val="clear" w:color="auto" w:fill="FFF2CC" w:themeFill="accent4" w:themeFillTint="33"/>
            <w:vAlign w:val="bottom"/>
          </w:tcPr>
          <w:p w:rsidR="00593E9B" w:rsidRPr="00593E9B" w:rsidRDefault="00593E9B" w:rsidP="00593E9B">
            <w:pPr>
              <w:rPr>
                <w:b/>
              </w:rPr>
            </w:pPr>
            <w:r>
              <w:rPr>
                <w:b/>
              </w:rPr>
              <w:t>Course URL</w:t>
            </w:r>
          </w:p>
        </w:tc>
        <w:tc>
          <w:tcPr>
            <w:tcW w:w="4590" w:type="dxa"/>
            <w:shd w:val="clear" w:color="auto" w:fill="FFF2CC" w:themeFill="accent4" w:themeFillTint="33"/>
            <w:vAlign w:val="bottom"/>
          </w:tcPr>
          <w:p w:rsidR="00593E9B" w:rsidRPr="00593E9B" w:rsidRDefault="00593E9B" w:rsidP="00593E9B">
            <w:pPr>
              <w:rPr>
                <w:b/>
              </w:rPr>
            </w:pPr>
          </w:p>
        </w:tc>
        <w:tc>
          <w:tcPr>
            <w:tcW w:w="2700" w:type="dxa"/>
            <w:shd w:val="clear" w:color="auto" w:fill="FFF2CC" w:themeFill="accent4" w:themeFillTint="33"/>
            <w:vAlign w:val="bottom"/>
          </w:tcPr>
          <w:p w:rsidR="00593E9B" w:rsidRPr="00593E9B" w:rsidRDefault="00593E9B" w:rsidP="00593E9B">
            <w:pPr>
              <w:rPr>
                <w:b/>
              </w:rPr>
            </w:pPr>
            <w:r>
              <w:rPr>
                <w:b/>
              </w:rPr>
              <w:t>Review Section Number(s)</w:t>
            </w:r>
          </w:p>
        </w:tc>
        <w:tc>
          <w:tcPr>
            <w:tcW w:w="2605" w:type="dxa"/>
            <w:shd w:val="clear" w:color="auto" w:fill="FFF2CC" w:themeFill="accent4" w:themeFillTint="33"/>
            <w:vAlign w:val="bottom"/>
          </w:tcPr>
          <w:p w:rsidR="00593E9B" w:rsidRPr="00593E9B" w:rsidRDefault="00593E9B" w:rsidP="00593E9B">
            <w:pPr>
              <w:rPr>
                <w:b/>
              </w:rPr>
            </w:pPr>
          </w:p>
        </w:tc>
      </w:tr>
    </w:tbl>
    <w:p w:rsidR="00345570" w:rsidRDefault="00E0346C" w:rsidP="00345570">
      <w:r w:rsidRPr="00E0346C">
        <w:rPr>
          <w:b/>
        </w:rPr>
        <w:t>Instructor:</w:t>
      </w:r>
      <w:r>
        <w:t xml:space="preserve"> Point</w:t>
      </w:r>
      <w:r w:rsidR="00345570">
        <w:t xml:space="preserve"> out elements that work well in addition to areas where feedback or suggestions would be helpful.  It is not necessary to respond to every item.  If an item does not apply to your discipline or course, please provide a short explanation. View the </w:t>
      </w:r>
      <w:hyperlink r:id="rId6" w:history="1">
        <w:r w:rsidR="00345570" w:rsidRPr="00AB0199">
          <w:rPr>
            <w:rStyle w:val="Hyperlink"/>
          </w:rPr>
          <w:t>Quick Guides</w:t>
        </w:r>
      </w:hyperlink>
      <w:r w:rsidR="00345570">
        <w:t xml:space="preserve"> for clarification and examples </w:t>
      </w:r>
      <w:r>
        <w:t>for</w:t>
      </w:r>
      <w:r w:rsidR="00345570">
        <w:t xml:space="preserve"> each category</w:t>
      </w:r>
      <w:r w:rsidR="00345570" w:rsidRPr="007033A6">
        <w:t xml:space="preserve">. </w:t>
      </w:r>
      <w:r w:rsidR="00345570" w:rsidRPr="00440DC6">
        <w:rPr>
          <w:b/>
          <w:highlight w:val="yellow"/>
        </w:rPr>
        <w:t>I</w:t>
      </w:r>
      <w:r w:rsidR="00345570">
        <w:rPr>
          <w:b/>
          <w:highlight w:val="yellow"/>
        </w:rPr>
        <w:t>MPORTANT</w:t>
      </w:r>
      <w:r w:rsidR="00345570" w:rsidRPr="00440DC6">
        <w:rPr>
          <w:b/>
          <w:highlight w:val="yellow"/>
        </w:rPr>
        <w:t xml:space="preserve">:  Provide URL links to an example of the </w:t>
      </w:r>
      <w:r w:rsidR="00345570">
        <w:rPr>
          <w:b/>
          <w:highlight w:val="yellow"/>
        </w:rPr>
        <w:t>course item</w:t>
      </w:r>
      <w:r w:rsidR="00345570" w:rsidRPr="00440DC6">
        <w:rPr>
          <w:b/>
          <w:highlight w:val="yellow"/>
        </w:rPr>
        <w:t xml:space="preserve"> f</w:t>
      </w:r>
      <w:r w:rsidR="00345570">
        <w:rPr>
          <w:b/>
          <w:highlight w:val="yellow"/>
        </w:rPr>
        <w:t>rom</w:t>
      </w:r>
      <w:r w:rsidR="00345570" w:rsidRPr="00440DC6">
        <w:rPr>
          <w:b/>
          <w:highlight w:val="yellow"/>
        </w:rPr>
        <w:t xml:space="preserve"> the term being reviewed</w:t>
      </w:r>
      <w:r w:rsidR="00345570">
        <w:t>.</w:t>
      </w:r>
    </w:p>
    <w:p w:rsidR="00E0346C" w:rsidRDefault="00E0346C" w:rsidP="00345570">
      <w:r w:rsidRPr="006C4B84">
        <w:rPr>
          <w:b/>
        </w:rPr>
        <w:t>QA Reviewer:</w:t>
      </w:r>
      <w:r>
        <w:t xml:space="preserve">  Rating Scale</w:t>
      </w:r>
      <w:r w:rsidR="006C4B84">
        <w:t xml:space="preserve"> </w:t>
      </w:r>
      <w:r>
        <w:t>0 = Absent, 1 = Included/Needs Improvement, 2 = Included/Satisfactory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
        <w:gridCol w:w="5056"/>
        <w:gridCol w:w="3477"/>
        <w:gridCol w:w="3495"/>
        <w:gridCol w:w="3672"/>
        <w:gridCol w:w="961"/>
      </w:tblGrid>
      <w:tr w:rsidR="00E27A9D" w:rsidTr="0047628B">
        <w:trPr>
          <w:cantSplit/>
          <w:tblHeader/>
        </w:trPr>
        <w:tc>
          <w:tcPr>
            <w:tcW w:w="609" w:type="dxa"/>
            <w:shd w:val="clear" w:color="auto" w:fill="595959" w:themeFill="text1" w:themeFillTint="A6"/>
            <w:vAlign w:val="center"/>
          </w:tcPr>
          <w:p w:rsidR="00345570" w:rsidRPr="00E27A9D" w:rsidRDefault="00345570" w:rsidP="00EC4971">
            <w:pPr>
              <w:spacing w:after="0" w:line="240" w:lineRule="auto"/>
              <w:rPr>
                <w:rFonts w:ascii="Calibri" w:eastAsia="Times New Roman" w:hAnsi="Calibri"/>
                <w:color w:val="FFFFFF" w:themeColor="background1"/>
                <w:sz w:val="22"/>
                <w:szCs w:val="22"/>
              </w:rPr>
            </w:pPr>
          </w:p>
        </w:tc>
        <w:tc>
          <w:tcPr>
            <w:tcW w:w="5056" w:type="dxa"/>
            <w:shd w:val="clear" w:color="auto" w:fill="595959" w:themeFill="text1" w:themeFillTint="A6"/>
            <w:vAlign w:val="center"/>
          </w:tcPr>
          <w:p w:rsidR="00345570" w:rsidRPr="00E27A9D" w:rsidRDefault="00E27A9D"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Standard</w:t>
            </w:r>
          </w:p>
        </w:tc>
        <w:tc>
          <w:tcPr>
            <w:tcW w:w="3477" w:type="dxa"/>
            <w:shd w:val="clear" w:color="auto" w:fill="595959" w:themeFill="text1" w:themeFillTint="A6"/>
            <w:vAlign w:val="center"/>
          </w:tcPr>
          <w:p w:rsidR="00345570" w:rsidRPr="00E27A9D" w:rsidRDefault="00852E20" w:rsidP="00EC4971">
            <w:pPr>
              <w:spacing w:line="240" w:lineRule="auto"/>
              <w:rPr>
                <w:rFonts w:ascii="Calibri" w:hAnsi="Calibri"/>
                <w:b/>
                <w:color w:val="FFFFFF" w:themeColor="background1"/>
                <w:sz w:val="28"/>
                <w:szCs w:val="28"/>
              </w:rPr>
            </w:pPr>
            <w:r>
              <w:rPr>
                <w:rFonts w:ascii="Calibri" w:hAnsi="Calibri"/>
                <w:b/>
                <w:color w:val="FFFFFF" w:themeColor="background1"/>
                <w:sz w:val="28"/>
                <w:szCs w:val="28"/>
              </w:rPr>
              <w:t>Design Unit Comments</w:t>
            </w:r>
          </w:p>
        </w:tc>
        <w:tc>
          <w:tcPr>
            <w:tcW w:w="3495" w:type="dxa"/>
            <w:shd w:val="clear" w:color="auto" w:fill="595959" w:themeFill="text1" w:themeFillTint="A6"/>
            <w:vAlign w:val="center"/>
          </w:tcPr>
          <w:p w:rsidR="00345570" w:rsidRPr="00E27A9D" w:rsidRDefault="00345570"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Instructor Comments</w:t>
            </w:r>
          </w:p>
        </w:tc>
        <w:tc>
          <w:tcPr>
            <w:tcW w:w="3672" w:type="dxa"/>
            <w:shd w:val="clear" w:color="auto" w:fill="595959" w:themeFill="text1" w:themeFillTint="A6"/>
            <w:vAlign w:val="center"/>
          </w:tcPr>
          <w:p w:rsidR="00345570" w:rsidRPr="00E27A9D" w:rsidRDefault="00345570"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QA Reviewer Comments</w:t>
            </w:r>
          </w:p>
        </w:tc>
        <w:tc>
          <w:tcPr>
            <w:tcW w:w="961" w:type="dxa"/>
            <w:shd w:val="clear" w:color="auto" w:fill="595959" w:themeFill="text1" w:themeFillTint="A6"/>
            <w:vAlign w:val="center"/>
          </w:tcPr>
          <w:p w:rsidR="00345570" w:rsidRPr="00E27A9D" w:rsidRDefault="00345570" w:rsidP="00EC4971">
            <w:pPr>
              <w:spacing w:line="240" w:lineRule="auto"/>
              <w:rPr>
                <w:rFonts w:ascii="Calibri" w:hAnsi="Calibri"/>
                <w:b/>
                <w:color w:val="FFFFFF" w:themeColor="background1"/>
                <w:sz w:val="28"/>
                <w:szCs w:val="28"/>
              </w:rPr>
            </w:pPr>
            <w:r w:rsidRPr="00E27A9D">
              <w:rPr>
                <w:rFonts w:ascii="Calibri" w:hAnsi="Calibri"/>
                <w:b/>
                <w:color w:val="FFFFFF" w:themeColor="background1"/>
                <w:sz w:val="28"/>
                <w:szCs w:val="28"/>
              </w:rPr>
              <w:t>Rating</w:t>
            </w:r>
          </w:p>
        </w:tc>
      </w:tr>
      <w:tr w:rsidR="00F73DB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t>1</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Course Content</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47628B" w:rsidTr="00EC4971">
        <w:tc>
          <w:tcPr>
            <w:tcW w:w="609" w:type="dxa"/>
            <w:vAlign w:val="center"/>
          </w:tcPr>
          <w:p w:rsidR="00E27A9D" w:rsidRDefault="00E27A9D" w:rsidP="00E27A9D">
            <w:pPr>
              <w:spacing w:after="0" w:line="240" w:lineRule="auto"/>
              <w:rPr>
                <w:rFonts w:ascii="Calibri" w:eastAsia="Times New Roman" w:hAnsi="Calibri"/>
                <w:color w:val="000000"/>
                <w:sz w:val="22"/>
                <w:szCs w:val="22"/>
              </w:rPr>
            </w:pPr>
            <w:r>
              <w:rPr>
                <w:rFonts w:ascii="Calibri" w:hAnsi="Calibri"/>
                <w:color w:val="000000"/>
                <w:sz w:val="22"/>
                <w:szCs w:val="22"/>
              </w:rPr>
              <w:t>1.1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 welcome message from instructor (text, audio, or video) describes and outlines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goals, policies and deadlines are clearly stated.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engage with course content in a variety of ways (e.g., projects, discussions, small groups, etc.)</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The course contains focused, interesting lectures/presentations and high quality materials.  (Examples include integrated quizzes, interviews and virtual field trips.)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Presentations are divided into segments with a target length of 4 - 10 minutes.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All resources and course materials contain proper citation clarifying copyright and permissions. (See </w:t>
            </w:r>
            <w:hyperlink r:id="rId7" w:history="1">
              <w:r w:rsidRPr="00E12C08">
                <w:rPr>
                  <w:rStyle w:val="Hyperlink"/>
                  <w:rFonts w:ascii="Calibri" w:hAnsi="Calibri"/>
                  <w:sz w:val="22"/>
                  <w:szCs w:val="22"/>
                </w:rPr>
                <w:t>UF Libraries Resources</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1.7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 prominent introductory activity confirms student understanding of the syllabus, course requirements and required tools and technologies where appropriate.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provides optional supplemental/remedial resources for those students who may need them (e.g. as follow-up to assignment submissions.)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1.9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Syllabus, schedule and other important course documents/information are easily located.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F4301E" w:rsidP="00E27A9D">
            <w:pPr>
              <w:rPr>
                <w:rFonts w:ascii="Calibri" w:hAnsi="Calibri"/>
                <w:color w:val="000000"/>
                <w:sz w:val="22"/>
                <w:szCs w:val="22"/>
              </w:rPr>
            </w:pPr>
            <w:r>
              <w:rPr>
                <w:rFonts w:ascii="Calibri" w:hAnsi="Calibri"/>
                <w:color w:val="000000"/>
                <w:sz w:val="22"/>
                <w:szCs w:val="22"/>
              </w:rPr>
              <w:t>1.10</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Syllabus aligns with current </w:t>
            </w:r>
            <w:hyperlink r:id="rId8" w:history="1">
              <w:r w:rsidRPr="00E12C08">
                <w:rPr>
                  <w:rStyle w:val="Hyperlink"/>
                  <w:rFonts w:ascii="Calibri" w:hAnsi="Calibri"/>
                  <w:sz w:val="22"/>
                  <w:szCs w:val="22"/>
                </w:rPr>
                <w:t>UF Syllabus Policy</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F4301E" w:rsidP="00E27A9D">
            <w:pPr>
              <w:rPr>
                <w:rFonts w:ascii="Calibri" w:hAnsi="Calibri"/>
                <w:color w:val="000000"/>
                <w:sz w:val="22"/>
                <w:szCs w:val="22"/>
              </w:rPr>
            </w:pPr>
            <w:r>
              <w:rPr>
                <w:rFonts w:ascii="Calibri" w:hAnsi="Calibri"/>
                <w:color w:val="000000"/>
                <w:sz w:val="22"/>
                <w:szCs w:val="22"/>
              </w:rPr>
              <w:t>1.11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contains content that is accurate, current and functional in its presentation.</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F4301E" w:rsidP="00E27A9D">
            <w:pPr>
              <w:rPr>
                <w:rFonts w:ascii="Calibri" w:hAnsi="Calibri"/>
                <w:color w:val="000000"/>
                <w:sz w:val="22"/>
                <w:szCs w:val="22"/>
              </w:rPr>
            </w:pPr>
            <w:r>
              <w:rPr>
                <w:rFonts w:ascii="Calibri" w:hAnsi="Calibri"/>
                <w:color w:val="000000"/>
                <w:sz w:val="22"/>
                <w:szCs w:val="22"/>
              </w:rPr>
              <w:t>1.12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materials provide written definitions of activities that constitute plagiarism and/or academic misconduct and consequences of committing such behavior.</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E45E78" w:rsidRDefault="00E27A9D" w:rsidP="00EC4971">
            <w:pPr>
              <w:pStyle w:val="Heading2"/>
              <w:outlineLvl w:val="1"/>
            </w:pPr>
            <w:r w:rsidRPr="00E45E78">
              <w:t>2</w:t>
            </w:r>
          </w:p>
        </w:tc>
        <w:tc>
          <w:tcPr>
            <w:tcW w:w="5056" w:type="dxa"/>
            <w:shd w:val="clear" w:color="auto" w:fill="FFF2CC" w:themeFill="accent4" w:themeFillTint="33"/>
            <w:vAlign w:val="center"/>
          </w:tcPr>
          <w:p w:rsidR="00E27A9D" w:rsidRPr="00E45E78" w:rsidRDefault="00E27A9D" w:rsidP="00EC4971">
            <w:pPr>
              <w:pStyle w:val="Heading2"/>
              <w:outlineLvl w:val="1"/>
            </w:pPr>
            <w:r w:rsidRPr="00E45E78">
              <w:t>Instructional Methods</w:t>
            </w:r>
          </w:p>
        </w:tc>
        <w:tc>
          <w:tcPr>
            <w:tcW w:w="3477" w:type="dxa"/>
            <w:shd w:val="clear" w:color="auto" w:fill="FFF2CC" w:themeFill="accent4" w:themeFillTint="33"/>
            <w:vAlign w:val="center"/>
          </w:tcPr>
          <w:p w:rsidR="00E27A9D" w:rsidRPr="00E45E78" w:rsidRDefault="00E27A9D" w:rsidP="00EC4971">
            <w:pPr>
              <w:pStyle w:val="Heading2"/>
              <w:outlineLvl w:val="1"/>
            </w:pPr>
          </w:p>
        </w:tc>
        <w:tc>
          <w:tcPr>
            <w:tcW w:w="3495" w:type="dxa"/>
            <w:shd w:val="clear" w:color="auto" w:fill="FFF2CC" w:themeFill="accent4" w:themeFillTint="33"/>
            <w:vAlign w:val="center"/>
          </w:tcPr>
          <w:p w:rsidR="00E27A9D" w:rsidRPr="00E45E78" w:rsidRDefault="00E27A9D" w:rsidP="00EC4971">
            <w:pPr>
              <w:pStyle w:val="Heading2"/>
              <w:outlineLvl w:val="1"/>
            </w:pPr>
          </w:p>
        </w:tc>
        <w:tc>
          <w:tcPr>
            <w:tcW w:w="3672" w:type="dxa"/>
            <w:shd w:val="clear" w:color="auto" w:fill="FFF2CC" w:themeFill="accent4" w:themeFillTint="33"/>
            <w:vAlign w:val="center"/>
          </w:tcPr>
          <w:p w:rsidR="00E27A9D" w:rsidRPr="00E45E78" w:rsidRDefault="00E27A9D" w:rsidP="00EC4971">
            <w:pPr>
              <w:pStyle w:val="Heading2"/>
              <w:outlineLvl w:val="1"/>
            </w:pPr>
          </w:p>
        </w:tc>
        <w:tc>
          <w:tcPr>
            <w:tcW w:w="961" w:type="dxa"/>
            <w:shd w:val="clear" w:color="auto" w:fill="FFF2CC" w:themeFill="accent4" w:themeFillTint="33"/>
            <w:vAlign w:val="center"/>
          </w:tcPr>
          <w:p w:rsidR="00E27A9D" w:rsidRPr="00E45E78"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Learning objectives are SMART (specific, measurable, achievable, realistic, and time sensitive) and align with course goals.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Assessments, learning activities, resources and course materials align with the learning objectives.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Expectations and requirements for student professionalism and respectful communication are </w:t>
            </w:r>
            <w:r>
              <w:rPr>
                <w:rFonts w:ascii="Calibri" w:hAnsi="Calibri"/>
                <w:color w:val="000000"/>
                <w:sz w:val="22"/>
                <w:szCs w:val="22"/>
              </w:rPr>
              <w:lastRenderedPageBreak/>
              <w:t>clearly provided in the syllabus or introductory materials.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Ongoing multiple assessment strategies are used to measure content knowledge, attitudes and skills.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Assignments and assessments encourage students to demonstrate a level of knowledge and/or skills appropriate to the course goals.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Team-based projects or activities, peer-review, and/or self-assessment are part of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are given the opportunity to relate personal experiences and apply their background knowledge/skills to the coursework.</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When synchronous sessions are included, reasonable accommodations will be made for students who cannot participate.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2.9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Clear scoring criteria align with assignment instructions and are shared with students in advance of assignments.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t>3</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Communication &amp; Interaction</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Participation expectations are explicit and easy to find.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receive feedback regularly, and in sufficient time to support improvement in subsequent assignments.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3.3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Multiple and varied (including non-text options such as audio, images and videos) student-faculty and student-student interactions are incorporated and to the extent possible, encouraged within course communication and activities.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requests student feedback on the course (assignments, materials and/or presentations.)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Timeframe for instructor responses to student inquiries is explicit and easy to find.  (Note:  Recommended within 24 hours during the work week and 48 hours on weekends.)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provides links to tutorials/information on how students can become successful online learners.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Instructor demonstrates ongoing changes and improvements based on constructive student feedback provided in current or previous term.</w:t>
            </w:r>
          </w:p>
        </w:tc>
        <w:tc>
          <w:tcPr>
            <w:tcW w:w="3477" w:type="dxa"/>
            <w:vAlign w:val="center"/>
          </w:tcPr>
          <w:p w:rsidR="00E27A9D" w:rsidRDefault="00E27A9D" w:rsidP="00E27A9D"/>
        </w:tc>
        <w:tc>
          <w:tcPr>
            <w:tcW w:w="3495" w:type="dxa"/>
            <w:vAlign w:val="center"/>
          </w:tcPr>
          <w:p w:rsidR="00E27A9D" w:rsidRDefault="00E45E78" w:rsidP="00E27A9D">
            <w:r w:rsidRPr="009D759B">
              <w:rPr>
                <w:rFonts w:eastAsia="Times New Roman"/>
                <w:i/>
              </w:rPr>
              <w:t>Instructor:  Briefly describe feedback and subsequent improvements.  Provide links to examples and announcements.</w:t>
            </w:r>
          </w:p>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The instructor is visibly present throughout the course via frequent text, audio and/or visual communications.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3.9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Instructor takes steps to protect students' education records/privacy rights in accordance with </w:t>
            </w:r>
            <w:hyperlink r:id="rId9" w:history="1">
              <w:r w:rsidRPr="00E12C08">
                <w:rPr>
                  <w:rStyle w:val="Hyperlink"/>
                  <w:rFonts w:ascii="Calibri" w:hAnsi="Calibri"/>
                  <w:sz w:val="22"/>
                  <w:szCs w:val="22"/>
                </w:rPr>
                <w:t>university policy</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t>4</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Technology</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Requirements and expectations of technology use are clearly stated.</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4.2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Tutorials, practice, and/or support resources are provided and conveniently located for use of the LMS and any specialized technologies.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Provisions are in place to allow for potential failures of technology, and are clearly expressed to students.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technology tools and media are functional using modern web browsers.  (Note:  Recommend providing information on the length of any time-based media such as audio or video.)</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4.5</w:t>
            </w:r>
          </w:p>
        </w:tc>
        <w:tc>
          <w:tcPr>
            <w:tcW w:w="5056" w:type="dxa"/>
            <w:vAlign w:val="center"/>
          </w:tcPr>
          <w:p w:rsidR="00E27A9D" w:rsidRDefault="00E27A9D" w:rsidP="0081519D">
            <w:pPr>
              <w:rPr>
                <w:rFonts w:ascii="Calibri" w:hAnsi="Calibri"/>
                <w:color w:val="000000"/>
                <w:sz w:val="22"/>
                <w:szCs w:val="22"/>
              </w:rPr>
            </w:pPr>
            <w:r>
              <w:rPr>
                <w:rFonts w:ascii="Calibri" w:hAnsi="Calibri"/>
                <w:color w:val="000000"/>
                <w:sz w:val="22"/>
                <w:szCs w:val="22"/>
              </w:rPr>
              <w:t xml:space="preserve">Any single assessment that comprises </w:t>
            </w:r>
            <w:bookmarkStart w:id="0" w:name="_GoBack"/>
            <w:bookmarkEnd w:id="0"/>
            <w:r>
              <w:rPr>
                <w:rFonts w:ascii="Calibri" w:hAnsi="Calibri"/>
                <w:color w:val="000000"/>
                <w:sz w:val="22"/>
                <w:szCs w:val="22"/>
              </w:rPr>
              <w:t xml:space="preserve">15% </w:t>
            </w:r>
            <w:r w:rsidR="00647665">
              <w:rPr>
                <w:rFonts w:ascii="Calibri" w:hAnsi="Calibri"/>
                <w:color w:val="000000"/>
                <w:sz w:val="22"/>
                <w:szCs w:val="22"/>
              </w:rPr>
              <w:t xml:space="preserve">or more </w:t>
            </w:r>
            <w:r>
              <w:rPr>
                <w:rFonts w:ascii="Calibri" w:hAnsi="Calibri"/>
                <w:color w:val="000000"/>
                <w:sz w:val="22"/>
                <w:szCs w:val="22"/>
              </w:rPr>
              <w:t>of the total grade uses appropriate security measures such as plagiarism detection and/or proctoring services.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4.6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Media located outside of the UF LMS is accessible, cross-platform, mobile-compatible and is available in both streaming and downloadable formats (where possible.)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47628B" w:rsidTr="00F73DBB">
        <w:tc>
          <w:tcPr>
            <w:tcW w:w="609" w:type="dxa"/>
            <w:shd w:val="clear" w:color="auto" w:fill="FFF2CC" w:themeFill="accent4" w:themeFillTint="33"/>
            <w:vAlign w:val="center"/>
          </w:tcPr>
          <w:p w:rsidR="00E27A9D" w:rsidRPr="0047628B" w:rsidRDefault="00E27A9D" w:rsidP="00EC4971">
            <w:pPr>
              <w:pStyle w:val="Heading2"/>
              <w:outlineLvl w:val="1"/>
            </w:pPr>
            <w:r w:rsidRPr="0047628B">
              <w:t>5</w:t>
            </w:r>
          </w:p>
        </w:tc>
        <w:tc>
          <w:tcPr>
            <w:tcW w:w="5056" w:type="dxa"/>
            <w:shd w:val="clear" w:color="auto" w:fill="FFF2CC" w:themeFill="accent4" w:themeFillTint="33"/>
            <w:vAlign w:val="center"/>
          </w:tcPr>
          <w:p w:rsidR="00E27A9D" w:rsidRPr="0047628B" w:rsidRDefault="00E27A9D" w:rsidP="00EC4971">
            <w:pPr>
              <w:pStyle w:val="Heading2"/>
              <w:outlineLvl w:val="1"/>
            </w:pPr>
            <w:r w:rsidRPr="0047628B">
              <w:t>Course Accessibility,</w:t>
            </w:r>
            <w:r w:rsidR="0047628B" w:rsidRPr="0047628B">
              <w:t xml:space="preserve"> Design</w:t>
            </w:r>
            <w:r w:rsidRPr="0047628B">
              <w:t xml:space="preserve"> &amp; Organization</w:t>
            </w:r>
          </w:p>
        </w:tc>
        <w:tc>
          <w:tcPr>
            <w:tcW w:w="3477" w:type="dxa"/>
            <w:shd w:val="clear" w:color="auto" w:fill="FFF2CC" w:themeFill="accent4" w:themeFillTint="33"/>
            <w:vAlign w:val="center"/>
          </w:tcPr>
          <w:p w:rsidR="00E27A9D" w:rsidRPr="0047628B" w:rsidRDefault="00E27A9D" w:rsidP="00EC4971">
            <w:pPr>
              <w:pStyle w:val="Heading2"/>
              <w:outlineLvl w:val="1"/>
            </w:pPr>
          </w:p>
        </w:tc>
        <w:tc>
          <w:tcPr>
            <w:tcW w:w="3495" w:type="dxa"/>
            <w:shd w:val="clear" w:color="auto" w:fill="FFF2CC" w:themeFill="accent4" w:themeFillTint="33"/>
            <w:vAlign w:val="center"/>
          </w:tcPr>
          <w:p w:rsidR="00E27A9D" w:rsidRPr="0047628B" w:rsidRDefault="00E27A9D" w:rsidP="00EC4971">
            <w:pPr>
              <w:pStyle w:val="Heading2"/>
              <w:outlineLvl w:val="1"/>
            </w:pPr>
          </w:p>
        </w:tc>
        <w:tc>
          <w:tcPr>
            <w:tcW w:w="3672" w:type="dxa"/>
            <w:shd w:val="clear" w:color="auto" w:fill="FFF2CC" w:themeFill="accent4" w:themeFillTint="33"/>
            <w:vAlign w:val="center"/>
          </w:tcPr>
          <w:p w:rsidR="00E27A9D" w:rsidRPr="0047628B" w:rsidRDefault="00E27A9D" w:rsidP="00EC4971">
            <w:pPr>
              <w:pStyle w:val="Heading2"/>
              <w:outlineLvl w:val="1"/>
            </w:pPr>
          </w:p>
        </w:tc>
        <w:tc>
          <w:tcPr>
            <w:tcW w:w="961" w:type="dxa"/>
            <w:shd w:val="clear" w:color="auto" w:fill="FFF2CC" w:themeFill="accent4" w:themeFillTint="33"/>
            <w:vAlign w:val="center"/>
          </w:tcPr>
          <w:p w:rsidR="00E27A9D" w:rsidRPr="0047628B" w:rsidRDefault="00E27A9D" w:rsidP="00EC4971">
            <w:pPr>
              <w:pStyle w:val="Heading2"/>
              <w:outlineLvl w:val="1"/>
            </w:pPr>
          </w:p>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5.1</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Students are presented with an obvious starting point and clear directions on how to navigate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5.2</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organization and navigation is logical and consistent throughout the course.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5.3</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Course uses headings, subheadings and lists to organize document structure. (See the </w:t>
            </w:r>
            <w:hyperlink r:id="rId10" w:history="1">
              <w:r w:rsidRPr="00E12C08">
                <w:rPr>
                  <w:rStyle w:val="Hyperlink"/>
                  <w:rFonts w:ascii="Calibri" w:hAnsi="Calibri"/>
                  <w:sz w:val="22"/>
                  <w:szCs w:val="22"/>
                </w:rPr>
                <w:t>Quick Guide to Online Course Accessibility</w:t>
              </w:r>
            </w:hyperlink>
            <w:r>
              <w:rPr>
                <w:rFonts w:ascii="Calibri" w:hAnsi="Calibri"/>
                <w:color w:val="000000"/>
                <w:sz w:val="22"/>
                <w:szCs w:val="22"/>
              </w:rPr>
              <w:t xml:space="preserve">) </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lastRenderedPageBreak/>
              <w:t>5.4</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Color alone is not used to convey meaning in the course website.</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5.5</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The text of images' "ALT tag" accurately and succinctly describes each image.  (</w:t>
            </w:r>
            <w:hyperlink r:id="rId11" w:history="1">
              <w:r w:rsidRPr="00E12C08">
                <w:rPr>
                  <w:rStyle w:val="Hyperlink"/>
                  <w:rFonts w:ascii="Calibri" w:hAnsi="Calibri"/>
                  <w:sz w:val="22"/>
                  <w:szCs w:val="22"/>
                </w:rPr>
                <w:t>See the Quick Guide to Online Course Accessibility</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5.6</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Font and background colors within course website and presentations are contrasted for easy readability (as defined by </w:t>
            </w:r>
            <w:hyperlink r:id="rId12" w:history="1">
              <w:r w:rsidRPr="00CC4EE1">
                <w:rPr>
                  <w:rStyle w:val="Hyperlink"/>
                  <w:rFonts w:ascii="Calibri" w:hAnsi="Calibri"/>
                  <w:sz w:val="22"/>
                  <w:szCs w:val="22"/>
                </w:rPr>
                <w:t>web accessibility conventions</w:t>
              </w:r>
            </w:hyperlink>
            <w:r>
              <w:rPr>
                <w:rFonts w:ascii="Calibri" w:hAnsi="Calibri"/>
                <w:color w:val="000000"/>
                <w:sz w:val="22"/>
                <w:szCs w:val="22"/>
              </w:rPr>
              <w:t>.)</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5.7</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All documents (if used) can be read by a screen reader (text in the document is selectable.) </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5.8</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Images included in lectures are relevant and high-quality.</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5.9</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Course layout and visuals guide the student to focus on important concepts.</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C4971" w:rsidTr="00EC4971">
        <w:tc>
          <w:tcPr>
            <w:tcW w:w="609"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5.1</w:t>
            </w:r>
            <w:r w:rsidR="002E6B7C">
              <w:rPr>
                <w:rFonts w:ascii="Calibri" w:hAnsi="Calibri"/>
                <w:color w:val="000000"/>
                <w:sz w:val="22"/>
                <w:szCs w:val="22"/>
              </w:rPr>
              <w:t>0</w:t>
            </w:r>
          </w:p>
        </w:tc>
        <w:tc>
          <w:tcPr>
            <w:tcW w:w="5056" w:type="dxa"/>
            <w:vAlign w:val="center"/>
          </w:tcPr>
          <w:p w:rsidR="00E27A9D" w:rsidRDefault="00E27A9D" w:rsidP="00E27A9D">
            <w:pPr>
              <w:rPr>
                <w:rFonts w:ascii="Calibri" w:hAnsi="Calibri"/>
                <w:color w:val="000000"/>
                <w:sz w:val="22"/>
                <w:szCs w:val="22"/>
              </w:rPr>
            </w:pPr>
            <w:r>
              <w:rPr>
                <w:rFonts w:ascii="Calibri" w:hAnsi="Calibri"/>
                <w:color w:val="000000"/>
                <w:sz w:val="22"/>
                <w:szCs w:val="22"/>
              </w:rPr>
              <w:t xml:space="preserve">Course multimedia are Closed Captioned or a script is provided upon accommodation request through the </w:t>
            </w:r>
            <w:hyperlink r:id="rId13" w:history="1">
              <w:r w:rsidRPr="00CC4EE1">
                <w:rPr>
                  <w:rStyle w:val="Hyperlink"/>
                  <w:rFonts w:ascii="Calibri" w:hAnsi="Calibri"/>
                  <w:sz w:val="22"/>
                  <w:szCs w:val="22"/>
                </w:rPr>
                <w:t>Disability Resource Center</w:t>
              </w:r>
            </w:hyperlink>
            <w:r>
              <w:rPr>
                <w:rFonts w:ascii="Calibri" w:hAnsi="Calibri"/>
                <w:color w:val="000000"/>
                <w:sz w:val="22"/>
                <w:szCs w:val="22"/>
              </w:rPr>
              <w:t xml:space="preserve"> (DRC.)</w:t>
            </w: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CC4EE1" w:rsidTr="00F73DBB">
        <w:tc>
          <w:tcPr>
            <w:tcW w:w="609" w:type="dxa"/>
            <w:shd w:val="clear" w:color="auto" w:fill="FFF2CC" w:themeFill="accent4" w:themeFillTint="33"/>
            <w:vAlign w:val="center"/>
          </w:tcPr>
          <w:p w:rsidR="00E27A9D" w:rsidRDefault="00E27A9D" w:rsidP="00EC4971">
            <w:pPr>
              <w:pStyle w:val="Heading2"/>
              <w:outlineLvl w:val="1"/>
            </w:pPr>
            <w:r>
              <w:t>6</w:t>
            </w:r>
          </w:p>
        </w:tc>
        <w:tc>
          <w:tcPr>
            <w:tcW w:w="5056" w:type="dxa"/>
            <w:shd w:val="clear" w:color="auto" w:fill="FFF2CC" w:themeFill="accent4" w:themeFillTint="33"/>
            <w:vAlign w:val="center"/>
          </w:tcPr>
          <w:p w:rsidR="00E27A9D" w:rsidRDefault="00E27A9D" w:rsidP="00EC4971">
            <w:pPr>
              <w:pStyle w:val="Heading2"/>
              <w:outlineLvl w:val="1"/>
            </w:pPr>
            <w:r>
              <w:t>General Comments</w:t>
            </w:r>
          </w:p>
        </w:tc>
        <w:tc>
          <w:tcPr>
            <w:tcW w:w="3477" w:type="dxa"/>
            <w:shd w:val="clear" w:color="auto" w:fill="FFF2CC" w:themeFill="accent4" w:themeFillTint="33"/>
            <w:vAlign w:val="center"/>
          </w:tcPr>
          <w:p w:rsidR="00E27A9D" w:rsidRDefault="00E27A9D" w:rsidP="00EC4971">
            <w:pPr>
              <w:pStyle w:val="Heading2"/>
              <w:outlineLvl w:val="1"/>
            </w:pPr>
          </w:p>
        </w:tc>
        <w:tc>
          <w:tcPr>
            <w:tcW w:w="3495" w:type="dxa"/>
            <w:shd w:val="clear" w:color="auto" w:fill="FFF2CC" w:themeFill="accent4" w:themeFillTint="33"/>
            <w:vAlign w:val="center"/>
          </w:tcPr>
          <w:p w:rsidR="00E27A9D" w:rsidRDefault="00E27A9D" w:rsidP="00EC4971">
            <w:pPr>
              <w:pStyle w:val="Heading2"/>
              <w:outlineLvl w:val="1"/>
            </w:pPr>
          </w:p>
        </w:tc>
        <w:tc>
          <w:tcPr>
            <w:tcW w:w="3672" w:type="dxa"/>
            <w:shd w:val="clear" w:color="auto" w:fill="FFF2CC" w:themeFill="accent4" w:themeFillTint="33"/>
            <w:vAlign w:val="center"/>
          </w:tcPr>
          <w:p w:rsidR="00E27A9D" w:rsidRDefault="00E27A9D" w:rsidP="00EC4971">
            <w:pPr>
              <w:pStyle w:val="Heading2"/>
              <w:outlineLvl w:val="1"/>
            </w:pPr>
          </w:p>
        </w:tc>
        <w:tc>
          <w:tcPr>
            <w:tcW w:w="961" w:type="dxa"/>
            <w:shd w:val="clear" w:color="auto" w:fill="FFF2CC" w:themeFill="accent4" w:themeFillTint="33"/>
            <w:vAlign w:val="center"/>
          </w:tcPr>
          <w:p w:rsidR="00E27A9D" w:rsidRDefault="00E27A9D" w:rsidP="00EC4971">
            <w:pPr>
              <w:pStyle w:val="Heading2"/>
              <w:outlineLvl w:val="1"/>
            </w:pPr>
          </w:p>
        </w:tc>
      </w:tr>
      <w:tr w:rsidR="00E27A9D" w:rsidTr="00EC4971">
        <w:tc>
          <w:tcPr>
            <w:tcW w:w="609" w:type="dxa"/>
            <w:vAlign w:val="center"/>
          </w:tcPr>
          <w:p w:rsidR="00E27A9D" w:rsidRDefault="00E27A9D" w:rsidP="00E27A9D">
            <w:pPr>
              <w:spacing w:after="0" w:line="240" w:lineRule="auto"/>
              <w:jc w:val="right"/>
              <w:rPr>
                <w:rFonts w:ascii="Calibri" w:eastAsia="Times New Roman" w:hAnsi="Calibri"/>
                <w:color w:val="000000"/>
                <w:sz w:val="22"/>
                <w:szCs w:val="22"/>
              </w:rPr>
            </w:pPr>
          </w:p>
        </w:tc>
        <w:tc>
          <w:tcPr>
            <w:tcW w:w="5056" w:type="dxa"/>
            <w:vAlign w:val="center"/>
          </w:tcPr>
          <w:p w:rsidR="00E27A9D" w:rsidRDefault="00E27A9D" w:rsidP="00E27A9D">
            <w:pPr>
              <w:rPr>
                <w:rFonts w:ascii="Calibri" w:hAnsi="Calibri"/>
                <w:color w:val="000000"/>
                <w:sz w:val="22"/>
                <w:szCs w:val="22"/>
              </w:rPr>
            </w:pP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27A9D" w:rsidTr="00EC4971">
        <w:tc>
          <w:tcPr>
            <w:tcW w:w="609" w:type="dxa"/>
            <w:vAlign w:val="center"/>
          </w:tcPr>
          <w:p w:rsidR="00E27A9D" w:rsidRDefault="00E27A9D" w:rsidP="00E27A9D">
            <w:pPr>
              <w:jc w:val="right"/>
              <w:rPr>
                <w:rFonts w:ascii="Calibri" w:hAnsi="Calibri"/>
                <w:color w:val="000000"/>
                <w:sz w:val="22"/>
                <w:szCs w:val="22"/>
              </w:rPr>
            </w:pPr>
          </w:p>
        </w:tc>
        <w:tc>
          <w:tcPr>
            <w:tcW w:w="5056" w:type="dxa"/>
            <w:vAlign w:val="center"/>
          </w:tcPr>
          <w:p w:rsidR="00E27A9D" w:rsidRDefault="00E27A9D" w:rsidP="00E27A9D">
            <w:pPr>
              <w:rPr>
                <w:rFonts w:ascii="Calibri" w:hAnsi="Calibri"/>
                <w:color w:val="000000"/>
                <w:sz w:val="22"/>
                <w:szCs w:val="22"/>
              </w:rPr>
            </w:pP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E27A9D" w:rsidTr="00EC4971">
        <w:tc>
          <w:tcPr>
            <w:tcW w:w="609" w:type="dxa"/>
            <w:vAlign w:val="center"/>
          </w:tcPr>
          <w:p w:rsidR="00E27A9D" w:rsidRDefault="00E27A9D" w:rsidP="00E27A9D">
            <w:pPr>
              <w:jc w:val="right"/>
              <w:rPr>
                <w:rFonts w:ascii="Calibri" w:hAnsi="Calibri"/>
                <w:color w:val="000000"/>
                <w:sz w:val="22"/>
                <w:szCs w:val="22"/>
              </w:rPr>
            </w:pPr>
          </w:p>
        </w:tc>
        <w:tc>
          <w:tcPr>
            <w:tcW w:w="5056" w:type="dxa"/>
            <w:vAlign w:val="center"/>
          </w:tcPr>
          <w:p w:rsidR="00E27A9D" w:rsidRDefault="00E27A9D" w:rsidP="00E27A9D">
            <w:pPr>
              <w:rPr>
                <w:rFonts w:ascii="Calibri" w:hAnsi="Calibri"/>
                <w:color w:val="000000"/>
                <w:sz w:val="22"/>
                <w:szCs w:val="22"/>
              </w:rPr>
            </w:pPr>
          </w:p>
        </w:tc>
        <w:tc>
          <w:tcPr>
            <w:tcW w:w="3477" w:type="dxa"/>
            <w:vAlign w:val="center"/>
          </w:tcPr>
          <w:p w:rsidR="00E27A9D" w:rsidRDefault="00E27A9D" w:rsidP="00E27A9D"/>
        </w:tc>
        <w:tc>
          <w:tcPr>
            <w:tcW w:w="3495" w:type="dxa"/>
            <w:vAlign w:val="center"/>
          </w:tcPr>
          <w:p w:rsidR="00E27A9D" w:rsidRDefault="00E27A9D" w:rsidP="00E27A9D"/>
        </w:tc>
        <w:tc>
          <w:tcPr>
            <w:tcW w:w="3672" w:type="dxa"/>
            <w:shd w:val="clear" w:color="auto" w:fill="F2F2F2" w:themeFill="background1" w:themeFillShade="F2"/>
            <w:vAlign w:val="center"/>
          </w:tcPr>
          <w:p w:rsidR="00E27A9D" w:rsidRDefault="00E27A9D" w:rsidP="00E27A9D"/>
        </w:tc>
        <w:tc>
          <w:tcPr>
            <w:tcW w:w="961" w:type="dxa"/>
            <w:shd w:val="clear" w:color="auto" w:fill="F2F2F2" w:themeFill="background1" w:themeFillShade="F2"/>
            <w:vAlign w:val="center"/>
          </w:tcPr>
          <w:p w:rsidR="00E27A9D" w:rsidRDefault="00E27A9D" w:rsidP="00E27A9D"/>
        </w:tc>
      </w:tr>
      <w:tr w:rsidR="00F73DBB" w:rsidTr="00EC4971">
        <w:tc>
          <w:tcPr>
            <w:tcW w:w="609" w:type="dxa"/>
            <w:vAlign w:val="center"/>
          </w:tcPr>
          <w:p w:rsidR="00F73DBB" w:rsidRDefault="00F73DBB" w:rsidP="00E27A9D">
            <w:pPr>
              <w:jc w:val="right"/>
              <w:rPr>
                <w:rFonts w:ascii="Calibri" w:hAnsi="Calibri"/>
                <w:color w:val="000000"/>
                <w:sz w:val="22"/>
                <w:szCs w:val="22"/>
              </w:rPr>
            </w:pPr>
          </w:p>
        </w:tc>
        <w:tc>
          <w:tcPr>
            <w:tcW w:w="5056" w:type="dxa"/>
            <w:vAlign w:val="center"/>
          </w:tcPr>
          <w:p w:rsidR="00F73DBB" w:rsidRDefault="00F73DBB" w:rsidP="00E27A9D">
            <w:pPr>
              <w:rPr>
                <w:rFonts w:ascii="Calibri" w:hAnsi="Calibri"/>
                <w:color w:val="000000"/>
                <w:sz w:val="22"/>
                <w:szCs w:val="22"/>
              </w:rPr>
            </w:pPr>
          </w:p>
        </w:tc>
        <w:tc>
          <w:tcPr>
            <w:tcW w:w="3477" w:type="dxa"/>
            <w:vAlign w:val="center"/>
          </w:tcPr>
          <w:p w:rsidR="00F73DBB" w:rsidRDefault="00F73DBB" w:rsidP="00E27A9D"/>
        </w:tc>
        <w:tc>
          <w:tcPr>
            <w:tcW w:w="3495" w:type="dxa"/>
            <w:vAlign w:val="center"/>
          </w:tcPr>
          <w:p w:rsidR="00F73DBB" w:rsidRDefault="00F73DBB" w:rsidP="00E27A9D"/>
        </w:tc>
        <w:tc>
          <w:tcPr>
            <w:tcW w:w="3672" w:type="dxa"/>
            <w:shd w:val="clear" w:color="auto" w:fill="F2F2F2" w:themeFill="background1" w:themeFillShade="F2"/>
            <w:vAlign w:val="center"/>
          </w:tcPr>
          <w:p w:rsidR="00F73DBB" w:rsidRDefault="00F73DBB" w:rsidP="00E27A9D"/>
        </w:tc>
        <w:tc>
          <w:tcPr>
            <w:tcW w:w="961" w:type="dxa"/>
            <w:shd w:val="clear" w:color="auto" w:fill="F2F2F2" w:themeFill="background1" w:themeFillShade="F2"/>
            <w:vAlign w:val="center"/>
          </w:tcPr>
          <w:p w:rsidR="00F73DBB" w:rsidRDefault="00F73DBB" w:rsidP="00E27A9D"/>
        </w:tc>
      </w:tr>
    </w:tbl>
    <w:p w:rsidR="00345570" w:rsidRDefault="00345570" w:rsidP="001C4C9D"/>
    <w:sectPr w:rsidR="00345570" w:rsidSect="00345570">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B" w:rsidRDefault="0047628B" w:rsidP="0047628B">
      <w:pPr>
        <w:spacing w:after="0" w:line="240" w:lineRule="auto"/>
      </w:pPr>
      <w:r>
        <w:separator/>
      </w:r>
    </w:p>
  </w:endnote>
  <w:endnote w:type="continuationSeparator" w:id="0">
    <w:p w:rsidR="0047628B" w:rsidRDefault="0047628B" w:rsidP="0047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56451"/>
      <w:docPartObj>
        <w:docPartGallery w:val="Page Numbers (Bottom of Page)"/>
        <w:docPartUnique/>
      </w:docPartObj>
    </w:sdtPr>
    <w:sdtEndPr>
      <w:rPr>
        <w:color w:val="7F7F7F" w:themeColor="background1" w:themeShade="7F"/>
        <w:spacing w:val="60"/>
      </w:rPr>
    </w:sdtEndPr>
    <w:sdtContent>
      <w:p w:rsidR="0047628B" w:rsidRDefault="0047628B" w:rsidP="001C4C9D">
        <w:pPr>
          <w:pStyle w:val="Footer"/>
          <w:pBdr>
            <w:top w:val="single" w:sz="4" w:space="1" w:color="D9D9D9" w:themeColor="background1" w:themeShade="D9"/>
          </w:pBdr>
          <w:jc w:val="right"/>
        </w:pPr>
        <w:r>
          <w:t xml:space="preserve">  </w:t>
        </w:r>
        <w:r w:rsidRPr="0047628B">
          <w:rPr>
            <w:i/>
            <w:color w:val="808080" w:themeColor="background1" w:themeShade="80"/>
          </w:rPr>
          <w:t>UF Standards and Markers of Excellence</w:t>
        </w:r>
        <w:r w:rsidR="00E0346C">
          <w:rPr>
            <w:i/>
            <w:color w:val="808080" w:themeColor="background1" w:themeShade="80"/>
          </w:rPr>
          <w:t xml:space="preserve"> Revised </w:t>
        </w:r>
        <w:r w:rsidRPr="0047628B">
          <w:rPr>
            <w:i/>
            <w:color w:val="808080" w:themeColor="background1" w:themeShade="80"/>
          </w:rPr>
          <w:t>9/15/16</w:t>
        </w:r>
        <w:r w:rsidRPr="0047628B">
          <w:rPr>
            <w:color w:val="808080" w:themeColor="background1" w:themeShade="80"/>
          </w:rPr>
          <w:t xml:space="preserve">  </w:t>
        </w:r>
        <w:r>
          <w:t xml:space="preserve">                                                                                                                                                                                                                  </w:t>
        </w:r>
        <w:r w:rsidR="001C4C9D">
          <w:t xml:space="preserve">                       </w:t>
        </w:r>
        <w:r>
          <w:t xml:space="preserve">  </w:t>
        </w:r>
        <w:r>
          <w:fldChar w:fldCharType="begin"/>
        </w:r>
        <w:r>
          <w:instrText xml:space="preserve"> PAGE   \* MERGEFORMAT </w:instrText>
        </w:r>
        <w:r>
          <w:fldChar w:fldCharType="separate"/>
        </w:r>
        <w:r w:rsidR="0081519D">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B" w:rsidRDefault="0047628B" w:rsidP="0047628B">
      <w:pPr>
        <w:spacing w:after="0" w:line="240" w:lineRule="auto"/>
      </w:pPr>
      <w:r>
        <w:separator/>
      </w:r>
    </w:p>
  </w:footnote>
  <w:footnote w:type="continuationSeparator" w:id="0">
    <w:p w:rsidR="0047628B" w:rsidRDefault="0047628B" w:rsidP="00476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70"/>
    <w:rsid w:val="001C4C9D"/>
    <w:rsid w:val="00203B14"/>
    <w:rsid w:val="002E6B7C"/>
    <w:rsid w:val="00345570"/>
    <w:rsid w:val="0047628B"/>
    <w:rsid w:val="00593E9B"/>
    <w:rsid w:val="00647665"/>
    <w:rsid w:val="006C4B84"/>
    <w:rsid w:val="007032F3"/>
    <w:rsid w:val="0081519D"/>
    <w:rsid w:val="00852E20"/>
    <w:rsid w:val="00875424"/>
    <w:rsid w:val="00AB0199"/>
    <w:rsid w:val="00CC4EE1"/>
    <w:rsid w:val="00E0346C"/>
    <w:rsid w:val="00E12C08"/>
    <w:rsid w:val="00E27A9D"/>
    <w:rsid w:val="00E45E78"/>
    <w:rsid w:val="00E56C85"/>
    <w:rsid w:val="00EC4971"/>
    <w:rsid w:val="00F4301E"/>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D023-2267-4F4B-A902-27AA2076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70"/>
    <w:pPr>
      <w:spacing w:after="80" w:line="276" w:lineRule="auto"/>
    </w:pPr>
    <w:rPr>
      <w:rFonts w:eastAsiaTheme="minorEastAsia"/>
      <w:sz w:val="21"/>
      <w:szCs w:val="21"/>
    </w:rPr>
  </w:style>
  <w:style w:type="paragraph" w:styleId="Heading1">
    <w:name w:val="heading 1"/>
    <w:basedOn w:val="Normal"/>
    <w:next w:val="Normal"/>
    <w:link w:val="Heading1Char"/>
    <w:uiPriority w:val="9"/>
    <w:qFormat/>
    <w:rsid w:val="0034557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C4971"/>
    <w:pPr>
      <w:spacing w:before="20" w:after="40" w:line="240" w:lineRule="auto"/>
      <w:outlineLvl w:val="1"/>
    </w:pPr>
    <w:rPr>
      <w:rFonts w:ascii="Calibri" w:hAnsi="Calibr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570"/>
    <w:rPr>
      <w:rFonts w:asciiTheme="majorHAnsi" w:eastAsiaTheme="majorEastAsia" w:hAnsiTheme="majorHAnsi" w:cstheme="majorBidi"/>
      <w:color w:val="262626" w:themeColor="text1" w:themeTint="D9"/>
      <w:sz w:val="40"/>
      <w:szCs w:val="40"/>
    </w:rPr>
  </w:style>
  <w:style w:type="character" w:styleId="Hyperlink">
    <w:name w:val="Hyperlink"/>
    <w:basedOn w:val="DefaultParagraphFont"/>
    <w:uiPriority w:val="99"/>
    <w:unhideWhenUsed/>
    <w:rsid w:val="00345570"/>
    <w:rPr>
      <w:color w:val="0563C1" w:themeColor="hyperlink"/>
      <w:u w:val="single"/>
    </w:rPr>
  </w:style>
  <w:style w:type="table" w:styleId="TableGrid">
    <w:name w:val="Table Grid"/>
    <w:basedOn w:val="TableNormal"/>
    <w:uiPriority w:val="39"/>
    <w:rsid w:val="003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4971"/>
    <w:rPr>
      <w:rFonts w:ascii="Calibri" w:eastAsiaTheme="minorEastAsia" w:hAnsi="Calibri"/>
      <w:b/>
      <w:color w:val="000000"/>
      <w:sz w:val="26"/>
      <w:szCs w:val="26"/>
    </w:rPr>
  </w:style>
  <w:style w:type="paragraph" w:styleId="Header">
    <w:name w:val="header"/>
    <w:basedOn w:val="Normal"/>
    <w:link w:val="HeaderChar"/>
    <w:uiPriority w:val="99"/>
    <w:unhideWhenUsed/>
    <w:rsid w:val="0047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8B"/>
    <w:rPr>
      <w:rFonts w:eastAsiaTheme="minorEastAsia"/>
      <w:sz w:val="21"/>
      <w:szCs w:val="21"/>
    </w:rPr>
  </w:style>
  <w:style w:type="paragraph" w:styleId="Footer">
    <w:name w:val="footer"/>
    <w:basedOn w:val="Normal"/>
    <w:link w:val="FooterChar"/>
    <w:uiPriority w:val="99"/>
    <w:unhideWhenUsed/>
    <w:rsid w:val="0047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8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ufl.edu/Data/Sites/18/media/policies/syllabus-policy-current.pdf" TargetMode="External"/><Relationship Id="rId13" Type="http://schemas.openxmlformats.org/officeDocument/2006/relationships/hyperlink" Target="https://www.dso.ufl.edu/drc/" TargetMode="External"/><Relationship Id="rId3" Type="http://schemas.openxmlformats.org/officeDocument/2006/relationships/webSettings" Target="webSettings.xml"/><Relationship Id="rId7" Type="http://schemas.openxmlformats.org/officeDocument/2006/relationships/hyperlink" Target="http://digital.uflib.ufl.edu/procedures/copyright/" TargetMode="External"/><Relationship Id="rId12" Type="http://schemas.openxmlformats.org/officeDocument/2006/relationships/hyperlink" Target="http://webaim.org/resources/contrastcheck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each.ufl.edu/uf-standards-and-markers-of-excellence/" TargetMode="External"/><Relationship Id="rId11" Type="http://schemas.openxmlformats.org/officeDocument/2006/relationships/hyperlink" Target="http://teach.ufl.edu/uf-standards-and-markers-of-excellenc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each.ufl.edu/uf-standards-and-markers-of-excellence/" TargetMode="External"/><Relationship Id="rId4" Type="http://schemas.openxmlformats.org/officeDocument/2006/relationships/footnotes" Target="footnotes.xml"/><Relationship Id="rId9" Type="http://schemas.openxmlformats.org/officeDocument/2006/relationships/hyperlink" Target="https://catalog.ufl.edu/ugrad/current/regulations/info/student-ferpa-right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Bitton-Braddy,Alexandra-work</cp:lastModifiedBy>
  <cp:revision>9</cp:revision>
  <dcterms:created xsi:type="dcterms:W3CDTF">2016-09-16T09:55:00Z</dcterms:created>
  <dcterms:modified xsi:type="dcterms:W3CDTF">2016-10-17T18:47:00Z</dcterms:modified>
</cp:coreProperties>
</file>